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B112E" w14:textId="77777777" w:rsidR="00C4017D" w:rsidRPr="00C4017D" w:rsidRDefault="00C4017D" w:rsidP="00EE0C8D">
      <w:pPr>
        <w:spacing w:after="100" w:line="240" w:lineRule="auto"/>
        <w:ind w:left="0" w:right="43" w:firstLine="0"/>
        <w:jc w:val="center"/>
        <w:rPr>
          <w:rFonts w:ascii="Times New Roman" w:hAnsi="Times New Roman" w:cs="Times New Roman"/>
          <w:b/>
          <w:sz w:val="22"/>
          <w:u w:val="single" w:color="000000"/>
        </w:rPr>
      </w:pPr>
    </w:p>
    <w:p w14:paraId="2B46D983" w14:textId="77777777" w:rsidR="006D4443" w:rsidRDefault="00146DC0" w:rsidP="00EE0C8D">
      <w:pPr>
        <w:spacing w:after="100" w:line="240" w:lineRule="auto"/>
        <w:ind w:left="5664" w:right="43" w:firstLine="0"/>
        <w:jc w:val="center"/>
        <w:rPr>
          <w:rFonts w:ascii="Times New Roman" w:hAnsi="Times New Roman" w:cs="Times New Roman"/>
          <w:b/>
          <w:sz w:val="22"/>
        </w:rPr>
      </w:pPr>
      <w:r w:rsidRPr="00C4017D">
        <w:rPr>
          <w:rFonts w:ascii="Times New Roman" w:hAnsi="Times New Roman" w:cs="Times New Roman"/>
          <w:b/>
          <w:sz w:val="22"/>
        </w:rPr>
        <w:t xml:space="preserve">Załącznik nr 9 </w:t>
      </w:r>
    </w:p>
    <w:p w14:paraId="1B554F4B" w14:textId="5DCA0C4D" w:rsidR="00DC02E6" w:rsidRDefault="00146DC0" w:rsidP="00EE0C8D">
      <w:pPr>
        <w:spacing w:after="100" w:line="240" w:lineRule="auto"/>
        <w:ind w:left="5664" w:right="43" w:firstLine="0"/>
        <w:jc w:val="center"/>
        <w:rPr>
          <w:rFonts w:ascii="Times New Roman" w:hAnsi="Times New Roman" w:cs="Times New Roman"/>
          <w:b/>
          <w:sz w:val="22"/>
        </w:rPr>
      </w:pPr>
      <w:r w:rsidRPr="00C4017D">
        <w:rPr>
          <w:rFonts w:ascii="Times New Roman" w:hAnsi="Times New Roman" w:cs="Times New Roman"/>
          <w:b/>
          <w:sz w:val="22"/>
        </w:rPr>
        <w:t xml:space="preserve">do Umowy nr </w:t>
      </w:r>
    </w:p>
    <w:p w14:paraId="7A3159B4" w14:textId="77777777" w:rsidR="00C4017D" w:rsidRPr="00C4017D" w:rsidRDefault="00C4017D" w:rsidP="00EE0C8D">
      <w:pPr>
        <w:spacing w:after="100" w:line="240" w:lineRule="auto"/>
        <w:ind w:left="5664" w:right="43" w:firstLine="0"/>
        <w:jc w:val="center"/>
        <w:rPr>
          <w:rFonts w:ascii="Times New Roman" w:hAnsi="Times New Roman" w:cs="Times New Roman"/>
          <w:sz w:val="22"/>
        </w:rPr>
      </w:pPr>
    </w:p>
    <w:p w14:paraId="32CFA931" w14:textId="77777777" w:rsidR="00DC02E6" w:rsidRPr="00C4017D" w:rsidRDefault="00146DC0" w:rsidP="00EE0C8D">
      <w:pPr>
        <w:pStyle w:val="Nagwek1"/>
        <w:spacing w:line="240" w:lineRule="auto"/>
        <w:rPr>
          <w:rFonts w:ascii="Times New Roman" w:hAnsi="Times New Roman" w:cs="Times New Roman"/>
          <w:sz w:val="22"/>
        </w:rPr>
      </w:pPr>
      <w:r w:rsidRPr="00C4017D">
        <w:rPr>
          <w:rFonts w:ascii="Times New Roman" w:hAnsi="Times New Roman" w:cs="Times New Roman"/>
          <w:sz w:val="22"/>
        </w:rPr>
        <w:t xml:space="preserve">Parametry jakościowe Przewozów </w:t>
      </w:r>
    </w:p>
    <w:p w14:paraId="639A9870" w14:textId="77777777" w:rsidR="00DC02E6" w:rsidRPr="00C4017D" w:rsidRDefault="00146DC0" w:rsidP="00EE0C8D">
      <w:pPr>
        <w:spacing w:after="126" w:line="240" w:lineRule="auto"/>
        <w:ind w:left="0" w:right="35" w:firstLine="0"/>
        <w:rPr>
          <w:rFonts w:ascii="Times New Roman" w:hAnsi="Times New Roman" w:cs="Times New Roman"/>
          <w:sz w:val="22"/>
        </w:rPr>
      </w:pPr>
      <w:r w:rsidRPr="00C4017D">
        <w:rPr>
          <w:rFonts w:ascii="Times New Roman" w:hAnsi="Times New Roman" w:cs="Times New Roman"/>
          <w:sz w:val="22"/>
        </w:rPr>
        <w:t xml:space="preserve">Wymagania jakościowe stawiane wykonawcy usługi publicznej (Operatorowi) uwzględniają kryteria jakości dotyczące dostępności usługi, informacji dla podróżnych, czasu realizacji świadczenia, komfortu podróży oraz bezpieczeństwa przewozów. </w:t>
      </w:r>
    </w:p>
    <w:p w14:paraId="3CD6E026" w14:textId="77777777" w:rsidR="00DC02E6" w:rsidRPr="00C4017D" w:rsidRDefault="00146DC0" w:rsidP="00EE0C8D">
      <w:pPr>
        <w:spacing w:after="126" w:line="240" w:lineRule="auto"/>
        <w:ind w:left="0" w:right="35" w:firstLine="0"/>
        <w:rPr>
          <w:rFonts w:ascii="Times New Roman" w:hAnsi="Times New Roman" w:cs="Times New Roman"/>
          <w:sz w:val="22"/>
        </w:rPr>
      </w:pPr>
      <w:r w:rsidRPr="00C4017D">
        <w:rPr>
          <w:rFonts w:ascii="Times New Roman" w:hAnsi="Times New Roman" w:cs="Times New Roman"/>
          <w:sz w:val="22"/>
        </w:rPr>
        <w:t xml:space="preserve">Egzekwowanie parametrów jakościowych powiązane jest systemowo z katalogiem kar umownych przewidzianych w Umowie. </w:t>
      </w:r>
    </w:p>
    <w:p w14:paraId="1A61D505" w14:textId="77777777" w:rsidR="00DC02E6" w:rsidRPr="00C4017D" w:rsidRDefault="00146DC0" w:rsidP="00EE0C8D">
      <w:pPr>
        <w:spacing w:after="160" w:line="240" w:lineRule="auto"/>
        <w:ind w:left="0" w:right="35" w:firstLine="0"/>
        <w:rPr>
          <w:rFonts w:ascii="Times New Roman" w:hAnsi="Times New Roman" w:cs="Times New Roman"/>
          <w:sz w:val="22"/>
        </w:rPr>
      </w:pPr>
      <w:r w:rsidRPr="00C4017D">
        <w:rPr>
          <w:rFonts w:ascii="Times New Roman" w:hAnsi="Times New Roman" w:cs="Times New Roman"/>
          <w:sz w:val="22"/>
        </w:rPr>
        <w:t xml:space="preserve">W szczególności, Operator zobowiązany jest do: </w:t>
      </w:r>
    </w:p>
    <w:p w14:paraId="3635D1AC" w14:textId="77777777" w:rsidR="00DC02E6" w:rsidRPr="00C4017D" w:rsidRDefault="00146DC0" w:rsidP="00EE0C8D">
      <w:pPr>
        <w:numPr>
          <w:ilvl w:val="0"/>
          <w:numId w:val="1"/>
        </w:numPr>
        <w:spacing w:line="240" w:lineRule="auto"/>
        <w:ind w:right="35" w:hanging="360"/>
        <w:rPr>
          <w:rFonts w:ascii="Times New Roman" w:hAnsi="Times New Roman" w:cs="Times New Roman"/>
          <w:sz w:val="22"/>
        </w:rPr>
      </w:pPr>
      <w:r w:rsidRPr="00C4017D">
        <w:rPr>
          <w:rFonts w:ascii="Times New Roman" w:hAnsi="Times New Roman" w:cs="Times New Roman"/>
          <w:sz w:val="22"/>
        </w:rPr>
        <w:t xml:space="preserve">Zapewnienia informacji o warunkach przewozu, w tym: </w:t>
      </w:r>
    </w:p>
    <w:p w14:paraId="49B97772" w14:textId="397B8AFD" w:rsidR="00DC02E6" w:rsidRPr="00C4017D" w:rsidRDefault="00146DC0" w:rsidP="00EE0C8D">
      <w:pPr>
        <w:numPr>
          <w:ilvl w:val="1"/>
          <w:numId w:val="1"/>
        </w:numPr>
        <w:spacing w:line="240" w:lineRule="auto"/>
        <w:ind w:right="35" w:hanging="360"/>
        <w:rPr>
          <w:rFonts w:ascii="Times New Roman" w:hAnsi="Times New Roman" w:cs="Times New Roman"/>
          <w:sz w:val="22"/>
        </w:rPr>
      </w:pPr>
      <w:r w:rsidRPr="00C4017D">
        <w:rPr>
          <w:rFonts w:ascii="Times New Roman" w:hAnsi="Times New Roman" w:cs="Times New Roman"/>
          <w:sz w:val="22"/>
        </w:rPr>
        <w:t>Podawania do publicznej wiadomości (w tym w pociągach</w:t>
      </w:r>
      <w:r w:rsidR="00AD6364">
        <w:rPr>
          <w:rFonts w:ascii="Times New Roman" w:hAnsi="Times New Roman" w:cs="Times New Roman"/>
          <w:sz w:val="22"/>
        </w:rPr>
        <w:t xml:space="preserve"> u drużyny pociągowej</w:t>
      </w:r>
      <w:r w:rsidRPr="00C4017D">
        <w:rPr>
          <w:rFonts w:ascii="Times New Roman" w:hAnsi="Times New Roman" w:cs="Times New Roman"/>
          <w:sz w:val="22"/>
        </w:rPr>
        <w:t xml:space="preserve">) rozkładu jazdy pociągów. </w:t>
      </w:r>
    </w:p>
    <w:p w14:paraId="6B282096" w14:textId="77777777" w:rsidR="00DC02E6" w:rsidRPr="00C4017D" w:rsidRDefault="00146DC0" w:rsidP="00EE0C8D">
      <w:pPr>
        <w:numPr>
          <w:ilvl w:val="1"/>
          <w:numId w:val="1"/>
        </w:numPr>
        <w:spacing w:line="240" w:lineRule="auto"/>
        <w:ind w:right="35" w:hanging="360"/>
        <w:rPr>
          <w:rFonts w:ascii="Times New Roman" w:hAnsi="Times New Roman" w:cs="Times New Roman"/>
          <w:sz w:val="22"/>
        </w:rPr>
      </w:pPr>
      <w:r w:rsidRPr="00C4017D">
        <w:rPr>
          <w:rFonts w:ascii="Times New Roman" w:hAnsi="Times New Roman" w:cs="Times New Roman"/>
          <w:sz w:val="22"/>
        </w:rPr>
        <w:t xml:space="preserve">Zapewnienie wewnętrznego i zewnętrznego oznakowania pociągu (wagonu) tablicami kierunkowymi i numerowymi zgodnie z rozporządzeniem ministra właściwego ds. transportu. </w:t>
      </w:r>
    </w:p>
    <w:p w14:paraId="7D7701F7" w14:textId="77777777" w:rsidR="00DC02E6" w:rsidRPr="00C4017D" w:rsidRDefault="00146DC0" w:rsidP="00EE0C8D">
      <w:pPr>
        <w:numPr>
          <w:ilvl w:val="1"/>
          <w:numId w:val="1"/>
        </w:numPr>
        <w:spacing w:line="240" w:lineRule="auto"/>
        <w:ind w:right="35" w:hanging="360"/>
        <w:rPr>
          <w:rFonts w:ascii="Times New Roman" w:hAnsi="Times New Roman" w:cs="Times New Roman"/>
          <w:sz w:val="22"/>
        </w:rPr>
      </w:pPr>
      <w:r w:rsidRPr="00C4017D">
        <w:rPr>
          <w:rFonts w:ascii="Times New Roman" w:hAnsi="Times New Roman" w:cs="Times New Roman"/>
          <w:sz w:val="22"/>
        </w:rPr>
        <w:t xml:space="preserve">Podawania do publicznej wiadomości w sposób zwyczajowo przyjęty wyciągu aktualnych informacji o ofercie Operatora, w tym o stosowanych taryfach, ulgach ustawowych i komercyjnych, wyciągach z regulaminów, oraz numeru telefonu umożliwiającego uzyskanie przez podróżnego informacji o rozkładzie jazdy oraz opóźnionych i odwołanych pociągach. </w:t>
      </w:r>
    </w:p>
    <w:p w14:paraId="59935B16" w14:textId="77777777" w:rsidR="00DC02E6" w:rsidRPr="00C4017D" w:rsidRDefault="00146DC0" w:rsidP="00EE0C8D">
      <w:pPr>
        <w:numPr>
          <w:ilvl w:val="1"/>
          <w:numId w:val="1"/>
        </w:numPr>
        <w:spacing w:line="240" w:lineRule="auto"/>
        <w:ind w:right="35" w:hanging="360"/>
        <w:rPr>
          <w:rFonts w:ascii="Times New Roman" w:hAnsi="Times New Roman" w:cs="Times New Roman"/>
          <w:sz w:val="22"/>
        </w:rPr>
      </w:pPr>
      <w:r w:rsidRPr="00C4017D">
        <w:rPr>
          <w:rFonts w:ascii="Times New Roman" w:hAnsi="Times New Roman" w:cs="Times New Roman"/>
          <w:sz w:val="22"/>
        </w:rPr>
        <w:t xml:space="preserve">Informowania Organizatora o wprowadzeniu okresowych zmian rozkładu jazdy z uwagi na przyczyny techniczne związane z infrastrukturą lub wymuszone warunkami atmosferycznymi, bez konieczności uzgodnienia takich zmian. </w:t>
      </w:r>
    </w:p>
    <w:p w14:paraId="051A4CAA" w14:textId="77777777" w:rsidR="00DC02E6" w:rsidRPr="00C4017D" w:rsidRDefault="00146DC0" w:rsidP="00EE0C8D">
      <w:pPr>
        <w:numPr>
          <w:ilvl w:val="1"/>
          <w:numId w:val="1"/>
        </w:numPr>
        <w:spacing w:line="240" w:lineRule="auto"/>
        <w:ind w:right="35" w:hanging="360"/>
        <w:rPr>
          <w:rFonts w:ascii="Times New Roman" w:hAnsi="Times New Roman" w:cs="Times New Roman"/>
          <w:sz w:val="22"/>
        </w:rPr>
      </w:pPr>
      <w:r w:rsidRPr="00C4017D">
        <w:rPr>
          <w:rFonts w:ascii="Times New Roman" w:hAnsi="Times New Roman" w:cs="Times New Roman"/>
          <w:sz w:val="22"/>
        </w:rPr>
        <w:t xml:space="preserve">Prowadzenia czytelnej strony internetowej, zawierającej aktualne informacje o rozkładzie jazdy i zmianach, taryfach, promocjach, utrudnieniach w ruchu itd. Stworzenie możliwości pobrania i wydrukowania „liniowych” rozkładów jazdy. </w:t>
      </w:r>
    </w:p>
    <w:p w14:paraId="5CFBB7EC" w14:textId="77777777" w:rsidR="00DC02E6" w:rsidRPr="00C4017D" w:rsidRDefault="00146DC0" w:rsidP="00EE0C8D">
      <w:pPr>
        <w:numPr>
          <w:ilvl w:val="1"/>
          <w:numId w:val="1"/>
        </w:numPr>
        <w:spacing w:line="240" w:lineRule="auto"/>
        <w:ind w:right="35" w:hanging="360"/>
        <w:rPr>
          <w:rFonts w:ascii="Times New Roman" w:hAnsi="Times New Roman" w:cs="Times New Roman"/>
          <w:sz w:val="22"/>
        </w:rPr>
      </w:pPr>
      <w:r w:rsidRPr="00C4017D">
        <w:rPr>
          <w:rFonts w:ascii="Times New Roman" w:hAnsi="Times New Roman" w:cs="Times New Roman"/>
          <w:sz w:val="22"/>
        </w:rPr>
        <w:t xml:space="preserve">Zorganizowania sprzedaży biletów na wykonywane przez siebie przewozy z uwzględnieniem: </w:t>
      </w:r>
    </w:p>
    <w:p w14:paraId="3FCBD258" w14:textId="77777777" w:rsidR="00DC02E6" w:rsidRPr="00C4017D" w:rsidRDefault="00146DC0" w:rsidP="00EE0C8D">
      <w:pPr>
        <w:numPr>
          <w:ilvl w:val="2"/>
          <w:numId w:val="1"/>
        </w:numPr>
        <w:spacing w:line="240" w:lineRule="auto"/>
        <w:ind w:right="35"/>
        <w:rPr>
          <w:rFonts w:ascii="Times New Roman" w:hAnsi="Times New Roman" w:cs="Times New Roman"/>
          <w:sz w:val="22"/>
        </w:rPr>
      </w:pPr>
      <w:r w:rsidRPr="00C4017D">
        <w:rPr>
          <w:rFonts w:ascii="Times New Roman" w:hAnsi="Times New Roman" w:cs="Times New Roman"/>
          <w:sz w:val="22"/>
        </w:rPr>
        <w:t xml:space="preserve">zagwarantowania stosowania wszystkich ulg ustawowych; </w:t>
      </w:r>
    </w:p>
    <w:p w14:paraId="09514C3E" w14:textId="77777777" w:rsidR="00DC02E6" w:rsidRPr="00C4017D" w:rsidRDefault="00146DC0" w:rsidP="00EE0C8D">
      <w:pPr>
        <w:numPr>
          <w:ilvl w:val="2"/>
          <w:numId w:val="1"/>
        </w:numPr>
        <w:spacing w:after="38" w:line="240" w:lineRule="auto"/>
        <w:ind w:right="35"/>
        <w:rPr>
          <w:rFonts w:ascii="Times New Roman" w:hAnsi="Times New Roman" w:cs="Times New Roman"/>
          <w:sz w:val="22"/>
        </w:rPr>
      </w:pPr>
      <w:r w:rsidRPr="00C4017D">
        <w:rPr>
          <w:rFonts w:ascii="Times New Roman" w:hAnsi="Times New Roman" w:cs="Times New Roman"/>
          <w:sz w:val="22"/>
        </w:rPr>
        <w:t xml:space="preserve">wyposażenia wszystkich drużyn konduktorskich w terminale mobilne do sprzedaży biletów; </w:t>
      </w:r>
    </w:p>
    <w:p w14:paraId="0EE6AAF0" w14:textId="45602319" w:rsidR="00DC02E6" w:rsidRPr="00C4017D" w:rsidRDefault="00146DC0" w:rsidP="00EE0C8D">
      <w:pPr>
        <w:numPr>
          <w:ilvl w:val="2"/>
          <w:numId w:val="1"/>
        </w:numPr>
        <w:spacing w:after="236" w:line="240" w:lineRule="auto"/>
        <w:ind w:right="35"/>
        <w:rPr>
          <w:rFonts w:ascii="Times New Roman" w:hAnsi="Times New Roman" w:cs="Times New Roman"/>
          <w:sz w:val="22"/>
        </w:rPr>
      </w:pPr>
      <w:r w:rsidRPr="00C4017D">
        <w:rPr>
          <w:rFonts w:ascii="Times New Roman" w:hAnsi="Times New Roman" w:cs="Times New Roman"/>
          <w:sz w:val="22"/>
        </w:rPr>
        <w:t>zapewnienia promocji przewozów kolejowych</w:t>
      </w:r>
      <w:r w:rsidR="00C4017D">
        <w:rPr>
          <w:rFonts w:ascii="Times New Roman" w:hAnsi="Times New Roman" w:cs="Times New Roman"/>
          <w:sz w:val="22"/>
        </w:rPr>
        <w:t>.</w:t>
      </w:r>
    </w:p>
    <w:p w14:paraId="42386672" w14:textId="24ECEA00" w:rsidR="00DC02E6" w:rsidRDefault="00146DC0" w:rsidP="00EE0C8D">
      <w:pPr>
        <w:numPr>
          <w:ilvl w:val="0"/>
          <w:numId w:val="1"/>
        </w:numPr>
        <w:spacing w:after="10" w:line="240" w:lineRule="auto"/>
        <w:ind w:right="35" w:hanging="360"/>
        <w:rPr>
          <w:rFonts w:ascii="Times New Roman" w:hAnsi="Times New Roman" w:cs="Times New Roman"/>
          <w:sz w:val="22"/>
        </w:rPr>
      </w:pPr>
      <w:r w:rsidRPr="00C4017D">
        <w:rPr>
          <w:rFonts w:ascii="Times New Roman" w:hAnsi="Times New Roman" w:cs="Times New Roman"/>
          <w:sz w:val="22"/>
        </w:rPr>
        <w:t>Wykonywania przewozów przy zachowaniu odpowiedniego poziomu punktualności. Operator ponosi odpowiedzialność za opóźnienia pociągów, do których doszło z winy Operatora. Nie podlegają karze opóźnienia pociągów poniżej</w:t>
      </w:r>
      <w:r w:rsidR="00C4017D">
        <w:rPr>
          <w:rFonts w:ascii="Times New Roman" w:hAnsi="Times New Roman" w:cs="Times New Roman"/>
          <w:sz w:val="22"/>
        </w:rPr>
        <w:t xml:space="preserve"> </w:t>
      </w:r>
      <w:r w:rsidR="00C4017D" w:rsidRPr="00C4017D">
        <w:rPr>
          <w:rFonts w:ascii="Times New Roman" w:hAnsi="Times New Roman" w:cs="Times New Roman"/>
          <w:b/>
          <w:bCs/>
          <w:sz w:val="22"/>
        </w:rPr>
        <w:t>5</w:t>
      </w:r>
      <w:r w:rsidRPr="00C4017D">
        <w:rPr>
          <w:rFonts w:ascii="Times New Roman" w:hAnsi="Times New Roman" w:cs="Times New Roman"/>
          <w:b/>
          <w:bCs/>
          <w:sz w:val="22"/>
        </w:rPr>
        <w:t xml:space="preserve"> minut.</w:t>
      </w:r>
      <w:r w:rsidRPr="00C4017D">
        <w:rPr>
          <w:rFonts w:ascii="Times New Roman" w:hAnsi="Times New Roman" w:cs="Times New Roman"/>
          <w:sz w:val="22"/>
        </w:rPr>
        <w:t xml:space="preserve"> </w:t>
      </w:r>
      <w:r w:rsidR="00AF2BB9" w:rsidRPr="00AF2BB9">
        <w:rPr>
          <w:rFonts w:ascii="Times New Roman" w:hAnsi="Times New Roman" w:cs="Times New Roman"/>
          <w:sz w:val="22"/>
        </w:rPr>
        <w:t>Jako przyczyn opóźnień z winy przewoźnika, nie uwzględnia się następujących zdarzeń</w:t>
      </w:r>
      <w:r w:rsidR="0000373A">
        <w:rPr>
          <w:rFonts w:ascii="Times New Roman" w:hAnsi="Times New Roman" w:cs="Times New Roman"/>
          <w:sz w:val="22"/>
        </w:rPr>
        <w:t>:</w:t>
      </w:r>
    </w:p>
    <w:p w14:paraId="1F3F27BC" w14:textId="77777777" w:rsidR="0000373A" w:rsidRPr="0000373A" w:rsidRDefault="0000373A" w:rsidP="00EE0C8D">
      <w:pPr>
        <w:pStyle w:val="Akapitzlist"/>
        <w:numPr>
          <w:ilvl w:val="1"/>
          <w:numId w:val="1"/>
        </w:numPr>
        <w:spacing w:after="10" w:line="240" w:lineRule="auto"/>
        <w:ind w:right="35"/>
        <w:rPr>
          <w:rFonts w:ascii="Times New Roman" w:hAnsi="Times New Roman" w:cs="Times New Roman"/>
          <w:sz w:val="22"/>
        </w:rPr>
      </w:pPr>
      <w:r w:rsidRPr="0000373A">
        <w:rPr>
          <w:rFonts w:ascii="Times New Roman" w:hAnsi="Times New Roman" w:cs="Times New Roman"/>
          <w:sz w:val="22"/>
        </w:rPr>
        <w:t>Opóźnień spowodowanych potrzebą skomunikowania z innymi pociągami.</w:t>
      </w:r>
    </w:p>
    <w:p w14:paraId="54E42632" w14:textId="77777777" w:rsidR="0000373A" w:rsidRPr="0000373A" w:rsidRDefault="0000373A" w:rsidP="00EE0C8D">
      <w:pPr>
        <w:pStyle w:val="Akapitzlist"/>
        <w:numPr>
          <w:ilvl w:val="1"/>
          <w:numId w:val="1"/>
        </w:numPr>
        <w:spacing w:after="10" w:line="240" w:lineRule="auto"/>
        <w:ind w:right="35"/>
        <w:rPr>
          <w:rFonts w:ascii="Times New Roman" w:hAnsi="Times New Roman" w:cs="Times New Roman"/>
          <w:sz w:val="22"/>
        </w:rPr>
      </w:pPr>
      <w:r w:rsidRPr="0000373A">
        <w:rPr>
          <w:rFonts w:ascii="Times New Roman" w:hAnsi="Times New Roman" w:cs="Times New Roman"/>
          <w:sz w:val="22"/>
        </w:rPr>
        <w:t>Zapewnienia przewozu zastępczego zgodnie z postanowieniami ustawy Prawo przewozowe.</w:t>
      </w:r>
    </w:p>
    <w:p w14:paraId="4F9A3045" w14:textId="77777777" w:rsidR="0000373A" w:rsidRPr="0000373A" w:rsidRDefault="0000373A" w:rsidP="00EE0C8D">
      <w:pPr>
        <w:pStyle w:val="Akapitzlist"/>
        <w:numPr>
          <w:ilvl w:val="1"/>
          <w:numId w:val="1"/>
        </w:numPr>
        <w:spacing w:after="10" w:line="240" w:lineRule="auto"/>
        <w:ind w:right="35"/>
        <w:rPr>
          <w:rFonts w:ascii="Times New Roman" w:hAnsi="Times New Roman" w:cs="Times New Roman"/>
          <w:sz w:val="22"/>
        </w:rPr>
      </w:pPr>
      <w:r w:rsidRPr="0000373A">
        <w:rPr>
          <w:rFonts w:ascii="Times New Roman" w:hAnsi="Times New Roman" w:cs="Times New Roman"/>
          <w:sz w:val="22"/>
        </w:rPr>
        <w:t xml:space="preserve">Zmian w kursowaniu pociągów, wprowadzonych doraźnie przez Zarządcę infrastruktury w związku z robotami, mającymi na celu zachowanie lub podwyższenie parametrów </w:t>
      </w:r>
      <w:proofErr w:type="spellStart"/>
      <w:r w:rsidRPr="0000373A">
        <w:rPr>
          <w:rFonts w:ascii="Times New Roman" w:hAnsi="Times New Roman" w:cs="Times New Roman"/>
          <w:sz w:val="22"/>
        </w:rPr>
        <w:t>techniczno</w:t>
      </w:r>
      <w:proofErr w:type="spellEnd"/>
      <w:r w:rsidRPr="0000373A">
        <w:rPr>
          <w:rFonts w:ascii="Times New Roman" w:hAnsi="Times New Roman" w:cs="Times New Roman"/>
          <w:sz w:val="22"/>
        </w:rPr>
        <w:t xml:space="preserve"> – eksploatacyjnych linii lub bezpieczeństwa ruchu, jeżeli zmiany te podane są do publicznej wiadomości.</w:t>
      </w:r>
    </w:p>
    <w:p w14:paraId="693A9451" w14:textId="77777777" w:rsidR="0000373A" w:rsidRPr="0000373A" w:rsidRDefault="0000373A" w:rsidP="00EE0C8D">
      <w:pPr>
        <w:pStyle w:val="Akapitzlist"/>
        <w:numPr>
          <w:ilvl w:val="1"/>
          <w:numId w:val="1"/>
        </w:numPr>
        <w:spacing w:after="10" w:line="240" w:lineRule="auto"/>
        <w:ind w:right="35"/>
        <w:rPr>
          <w:rFonts w:ascii="Times New Roman" w:hAnsi="Times New Roman" w:cs="Times New Roman"/>
          <w:sz w:val="22"/>
        </w:rPr>
      </w:pPr>
      <w:r w:rsidRPr="0000373A">
        <w:rPr>
          <w:rFonts w:ascii="Times New Roman" w:hAnsi="Times New Roman" w:cs="Times New Roman"/>
          <w:sz w:val="22"/>
        </w:rPr>
        <w:t>Zmian, spowodowanych stanem klęski żywiołowej lub wprowadzonych przez stosowne organa państwowe z uwagi na potrzeby obronności lub bezpieczeństwa państwa.</w:t>
      </w:r>
    </w:p>
    <w:p w14:paraId="0758CBAF" w14:textId="77777777" w:rsidR="0000373A" w:rsidRPr="0000373A" w:rsidRDefault="0000373A" w:rsidP="00EE0C8D">
      <w:pPr>
        <w:pStyle w:val="Akapitzlist"/>
        <w:numPr>
          <w:ilvl w:val="1"/>
          <w:numId w:val="1"/>
        </w:numPr>
        <w:spacing w:after="10" w:line="240" w:lineRule="auto"/>
        <w:ind w:right="35"/>
        <w:rPr>
          <w:rFonts w:ascii="Times New Roman" w:hAnsi="Times New Roman" w:cs="Times New Roman"/>
          <w:sz w:val="22"/>
        </w:rPr>
      </w:pPr>
      <w:r w:rsidRPr="0000373A">
        <w:rPr>
          <w:rFonts w:ascii="Times New Roman" w:hAnsi="Times New Roman" w:cs="Times New Roman"/>
          <w:sz w:val="22"/>
        </w:rPr>
        <w:t>Niezależnych od Operatora wypadków i wydarzeń na liniach kolejowych lub na terenie kolejowym.</w:t>
      </w:r>
    </w:p>
    <w:p w14:paraId="2FD9B7E0" w14:textId="58A58242" w:rsidR="0000373A" w:rsidRPr="0000373A" w:rsidRDefault="0000373A" w:rsidP="00EE0C8D">
      <w:pPr>
        <w:pStyle w:val="Akapitzlist"/>
        <w:spacing w:after="10" w:line="240" w:lineRule="auto"/>
        <w:ind w:left="1118" w:right="35" w:firstLine="0"/>
        <w:rPr>
          <w:rFonts w:ascii="Times New Roman" w:hAnsi="Times New Roman" w:cs="Times New Roman"/>
          <w:sz w:val="22"/>
        </w:rPr>
      </w:pPr>
    </w:p>
    <w:p w14:paraId="08BEF22B" w14:textId="77777777" w:rsidR="00DC02E6" w:rsidRPr="00C4017D" w:rsidRDefault="00146DC0" w:rsidP="00EE0C8D">
      <w:pPr>
        <w:numPr>
          <w:ilvl w:val="0"/>
          <w:numId w:val="1"/>
        </w:numPr>
        <w:spacing w:line="240" w:lineRule="auto"/>
        <w:ind w:right="35" w:hanging="360"/>
        <w:rPr>
          <w:rFonts w:ascii="Times New Roman" w:hAnsi="Times New Roman" w:cs="Times New Roman"/>
          <w:sz w:val="22"/>
        </w:rPr>
      </w:pPr>
      <w:r w:rsidRPr="00C4017D">
        <w:rPr>
          <w:rFonts w:ascii="Times New Roman" w:hAnsi="Times New Roman" w:cs="Times New Roman"/>
          <w:sz w:val="22"/>
        </w:rPr>
        <w:t xml:space="preserve">Zapewnienia podróżnym odpowiednich warunków bezpieczeństwa, komfortu, należytej obsługi i higieny, a w szczególności: </w:t>
      </w:r>
    </w:p>
    <w:p w14:paraId="205D0B6D" w14:textId="11A4BAF5" w:rsidR="00DC02E6" w:rsidRPr="00C4017D" w:rsidRDefault="00146DC0" w:rsidP="00EE0C8D">
      <w:pPr>
        <w:numPr>
          <w:ilvl w:val="1"/>
          <w:numId w:val="1"/>
        </w:numPr>
        <w:spacing w:line="240" w:lineRule="auto"/>
        <w:ind w:right="35" w:hanging="360"/>
        <w:rPr>
          <w:rFonts w:ascii="Times New Roman" w:hAnsi="Times New Roman" w:cs="Times New Roman"/>
          <w:sz w:val="22"/>
        </w:rPr>
      </w:pPr>
      <w:r w:rsidRPr="00C4017D">
        <w:rPr>
          <w:rFonts w:ascii="Times New Roman" w:hAnsi="Times New Roman" w:cs="Times New Roman"/>
          <w:sz w:val="22"/>
        </w:rPr>
        <w:lastRenderedPageBreak/>
        <w:t xml:space="preserve">Utrzymania w pełnej sprawności systemów oświetlenia, klimatyzacji, wentylacji, ogrzewania, siedzeń, drzwi i okien oraz urządzeń do świetlnej i głosowej informacji dla podróżnych (w tym, świetlne tablice kierunkowe informujące o najbliższym zatrzymaniu w każdym wagonie/członie) we wszystkich nowych i zmodernizowanych pojazdach pasażerskich. </w:t>
      </w:r>
    </w:p>
    <w:p w14:paraId="2C8C2A18" w14:textId="77777777" w:rsidR="00DC02E6" w:rsidRPr="00C4017D" w:rsidRDefault="00146DC0" w:rsidP="00EE0C8D">
      <w:pPr>
        <w:numPr>
          <w:ilvl w:val="1"/>
          <w:numId w:val="1"/>
        </w:numPr>
        <w:spacing w:line="240" w:lineRule="auto"/>
        <w:ind w:right="35" w:hanging="360"/>
        <w:rPr>
          <w:rFonts w:ascii="Times New Roman" w:hAnsi="Times New Roman" w:cs="Times New Roman"/>
          <w:sz w:val="22"/>
        </w:rPr>
      </w:pPr>
      <w:r w:rsidRPr="00C4017D">
        <w:rPr>
          <w:rFonts w:ascii="Times New Roman" w:hAnsi="Times New Roman" w:cs="Times New Roman"/>
          <w:sz w:val="22"/>
        </w:rPr>
        <w:t xml:space="preserve">Utrzymania, we wszystkich pojazdach pasażerskich, odpowiedniego poziomu higieny, w tym: </w:t>
      </w:r>
    </w:p>
    <w:p w14:paraId="726171F9" w14:textId="77777777" w:rsidR="0000373A" w:rsidRPr="0000373A" w:rsidRDefault="00146DC0" w:rsidP="00EE0C8D">
      <w:pPr>
        <w:pStyle w:val="Akapitzlist"/>
        <w:numPr>
          <w:ilvl w:val="0"/>
          <w:numId w:val="5"/>
        </w:numPr>
        <w:spacing w:after="623" w:line="240" w:lineRule="auto"/>
        <w:ind w:right="35"/>
        <w:rPr>
          <w:rFonts w:ascii="Times New Roman" w:hAnsi="Times New Roman" w:cs="Times New Roman"/>
          <w:sz w:val="22"/>
        </w:rPr>
      </w:pPr>
      <w:r w:rsidRPr="0000373A">
        <w:rPr>
          <w:rFonts w:ascii="Times New Roman" w:hAnsi="Times New Roman" w:cs="Times New Roman"/>
          <w:sz w:val="22"/>
        </w:rPr>
        <w:t xml:space="preserve">czystych i zdezynfekowanych sedesów, umywalek, armatury sanitarnej oraz podłogi w kabinach WC, ponadto wyłożenie, w odpowiednich ilościach, środków higienicznosanitarnych (papieru toaletowego, ręczników papierowych, środków zapachowych, mydła w kostkach lub napełnienie dozowników mydłem w płynie), zapewnienie sprawności suszarek do rąk; </w:t>
      </w:r>
    </w:p>
    <w:p w14:paraId="68BB169C" w14:textId="2E223BEB" w:rsidR="00DC02E6" w:rsidRPr="0000373A" w:rsidRDefault="00146DC0" w:rsidP="00EE0C8D">
      <w:pPr>
        <w:pStyle w:val="Akapitzlist"/>
        <w:numPr>
          <w:ilvl w:val="0"/>
          <w:numId w:val="5"/>
        </w:numPr>
        <w:spacing w:after="623" w:line="240" w:lineRule="auto"/>
        <w:ind w:right="35"/>
        <w:rPr>
          <w:rFonts w:ascii="Times New Roman" w:hAnsi="Times New Roman" w:cs="Times New Roman"/>
          <w:sz w:val="22"/>
        </w:rPr>
      </w:pPr>
      <w:r w:rsidRPr="0000373A">
        <w:rPr>
          <w:rFonts w:ascii="Times New Roman" w:hAnsi="Times New Roman" w:cs="Times New Roman"/>
          <w:sz w:val="22"/>
        </w:rPr>
        <w:t xml:space="preserve">opróżnienie i zapewnienie czystych pojemników na śmieci; </w:t>
      </w:r>
    </w:p>
    <w:p w14:paraId="6C5F4638" w14:textId="77777777" w:rsidR="00DC02E6" w:rsidRPr="0000373A" w:rsidRDefault="00146DC0" w:rsidP="00EE0C8D">
      <w:pPr>
        <w:pStyle w:val="Akapitzlist"/>
        <w:numPr>
          <w:ilvl w:val="0"/>
          <w:numId w:val="5"/>
        </w:numPr>
        <w:spacing w:line="240" w:lineRule="auto"/>
        <w:ind w:right="35"/>
        <w:rPr>
          <w:rFonts w:ascii="Times New Roman" w:hAnsi="Times New Roman" w:cs="Times New Roman"/>
          <w:sz w:val="22"/>
        </w:rPr>
      </w:pPr>
      <w:r w:rsidRPr="0000373A">
        <w:rPr>
          <w:rFonts w:ascii="Times New Roman" w:hAnsi="Times New Roman" w:cs="Times New Roman"/>
          <w:sz w:val="22"/>
        </w:rPr>
        <w:t xml:space="preserve">czyste, odkurzone siedzenia, stoliki podokienne oraz usunięcie ze stolików i siedzeń nieczystości stałych (nie dotyczy plam na siedzeniach); </w:t>
      </w:r>
    </w:p>
    <w:p w14:paraId="1E15D399" w14:textId="77777777" w:rsidR="00DC02E6" w:rsidRPr="0000373A" w:rsidRDefault="00146DC0" w:rsidP="00EE0C8D">
      <w:pPr>
        <w:pStyle w:val="Akapitzlist"/>
        <w:numPr>
          <w:ilvl w:val="0"/>
          <w:numId w:val="5"/>
        </w:numPr>
        <w:spacing w:line="240" w:lineRule="auto"/>
        <w:ind w:right="35"/>
        <w:rPr>
          <w:rFonts w:ascii="Times New Roman" w:hAnsi="Times New Roman" w:cs="Times New Roman"/>
          <w:sz w:val="22"/>
        </w:rPr>
      </w:pPr>
      <w:r w:rsidRPr="0000373A">
        <w:rPr>
          <w:rFonts w:ascii="Times New Roman" w:hAnsi="Times New Roman" w:cs="Times New Roman"/>
          <w:sz w:val="22"/>
        </w:rPr>
        <w:t xml:space="preserve">utrzymanie w czystości podłogi pojazdów w tym mycie w miejscach zabrudzeń (rozlana substancja, płyn itp.); </w:t>
      </w:r>
    </w:p>
    <w:p w14:paraId="466354CC" w14:textId="77777777" w:rsidR="00DC02E6" w:rsidRPr="0000373A" w:rsidRDefault="00146DC0" w:rsidP="00EE0C8D">
      <w:pPr>
        <w:pStyle w:val="Akapitzlist"/>
        <w:numPr>
          <w:ilvl w:val="0"/>
          <w:numId w:val="5"/>
        </w:numPr>
        <w:spacing w:after="17" w:line="240" w:lineRule="auto"/>
        <w:ind w:right="35"/>
        <w:rPr>
          <w:rFonts w:ascii="Times New Roman" w:hAnsi="Times New Roman" w:cs="Times New Roman"/>
          <w:sz w:val="22"/>
        </w:rPr>
      </w:pPr>
      <w:r w:rsidRPr="0000373A">
        <w:rPr>
          <w:rFonts w:ascii="Times New Roman" w:hAnsi="Times New Roman" w:cs="Times New Roman"/>
          <w:sz w:val="22"/>
        </w:rPr>
        <w:t xml:space="preserve">czyste uchwyty, poręcze i klamki drzwi wejściowych. </w:t>
      </w:r>
    </w:p>
    <w:p w14:paraId="7556F2DE" w14:textId="23B02C9B" w:rsidR="00F83158" w:rsidRPr="00F83158" w:rsidRDefault="00146DC0" w:rsidP="00F83158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sz w:val="22"/>
        </w:rPr>
      </w:pPr>
      <w:r w:rsidRPr="00F83158">
        <w:rPr>
          <w:rFonts w:ascii="Times New Roman" w:hAnsi="Times New Roman" w:cs="Times New Roman"/>
          <w:sz w:val="22"/>
        </w:rPr>
        <w:t xml:space="preserve">Wyposażenie każdego składu pociągu, formowanego z nowych pojazdów, w co najmniej </w:t>
      </w:r>
      <w:r w:rsidR="00F83158" w:rsidRPr="00F83158">
        <w:rPr>
          <w:rFonts w:ascii="Times New Roman" w:hAnsi="Times New Roman" w:cs="Times New Roman"/>
          <w:sz w:val="22"/>
        </w:rPr>
        <w:t xml:space="preserve"> </w:t>
      </w:r>
    </w:p>
    <w:p w14:paraId="6BB8E322" w14:textId="527F3667" w:rsidR="00DC02E6" w:rsidRPr="00F83158" w:rsidRDefault="00146DC0" w:rsidP="00F83158">
      <w:pPr>
        <w:pStyle w:val="Akapitzlist"/>
        <w:ind w:left="1118" w:firstLine="0"/>
        <w:rPr>
          <w:rFonts w:ascii="Times New Roman" w:hAnsi="Times New Roman" w:cs="Times New Roman"/>
          <w:sz w:val="22"/>
          <w:highlight w:val="yellow"/>
        </w:rPr>
      </w:pPr>
      <w:r w:rsidRPr="00F83158">
        <w:rPr>
          <w:rFonts w:ascii="Times New Roman" w:hAnsi="Times New Roman" w:cs="Times New Roman"/>
          <w:sz w:val="22"/>
        </w:rPr>
        <w:t xml:space="preserve">jedną toaletę i jedno urządzenie, ułatwiające wsiadanie/wysiadanie i podróżowanie osób z ograniczoną możliwością poruszania się, oraz min. </w:t>
      </w:r>
      <w:r w:rsidR="00B46E6C" w:rsidRPr="00F83158">
        <w:rPr>
          <w:rFonts w:ascii="Times New Roman" w:hAnsi="Times New Roman" w:cs="Times New Roman"/>
          <w:sz w:val="22"/>
        </w:rPr>
        <w:t>4</w:t>
      </w:r>
      <w:r w:rsidRPr="00F83158">
        <w:rPr>
          <w:rFonts w:ascii="Times New Roman" w:hAnsi="Times New Roman" w:cs="Times New Roman"/>
          <w:sz w:val="22"/>
        </w:rPr>
        <w:t xml:space="preserve"> miejsc na rowery. </w:t>
      </w:r>
    </w:p>
    <w:p w14:paraId="2EEE8511" w14:textId="77777777" w:rsidR="00DC02E6" w:rsidRPr="00C4017D" w:rsidRDefault="00146DC0" w:rsidP="00EE0C8D">
      <w:pPr>
        <w:numPr>
          <w:ilvl w:val="1"/>
          <w:numId w:val="1"/>
        </w:numPr>
        <w:spacing w:line="240" w:lineRule="auto"/>
        <w:ind w:right="35" w:hanging="360"/>
        <w:rPr>
          <w:rFonts w:ascii="Times New Roman" w:hAnsi="Times New Roman" w:cs="Times New Roman"/>
          <w:sz w:val="22"/>
        </w:rPr>
      </w:pPr>
      <w:r w:rsidRPr="00C4017D">
        <w:rPr>
          <w:rFonts w:ascii="Times New Roman" w:hAnsi="Times New Roman" w:cs="Times New Roman"/>
          <w:sz w:val="22"/>
        </w:rPr>
        <w:t xml:space="preserve">Zapewnienie pomocy przy wsiadaniu, wysiadaniu i zajmowaniu miejsca pasażerom z dużym bagażem, którzy zgłoszą obsłudze pociągu taką potrzebę. </w:t>
      </w:r>
    </w:p>
    <w:p w14:paraId="0F739E71" w14:textId="4FA0A9DB" w:rsidR="00DC02E6" w:rsidRPr="00C4017D" w:rsidRDefault="00146DC0" w:rsidP="00EE0C8D">
      <w:pPr>
        <w:numPr>
          <w:ilvl w:val="1"/>
          <w:numId w:val="1"/>
        </w:numPr>
        <w:spacing w:line="240" w:lineRule="auto"/>
        <w:ind w:right="35" w:hanging="360"/>
        <w:rPr>
          <w:rFonts w:ascii="Times New Roman" w:hAnsi="Times New Roman" w:cs="Times New Roman"/>
          <w:sz w:val="22"/>
        </w:rPr>
      </w:pPr>
      <w:r w:rsidRPr="00C4017D">
        <w:rPr>
          <w:rFonts w:ascii="Times New Roman" w:hAnsi="Times New Roman" w:cs="Times New Roman"/>
          <w:sz w:val="22"/>
        </w:rPr>
        <w:t xml:space="preserve">Zapewnienie co najmniej </w:t>
      </w:r>
      <w:r w:rsidR="00D839D0">
        <w:rPr>
          <w:rFonts w:ascii="Times New Roman" w:hAnsi="Times New Roman" w:cs="Times New Roman"/>
          <w:sz w:val="22"/>
        </w:rPr>
        <w:t>10</w:t>
      </w:r>
      <w:r w:rsidRPr="00C4017D">
        <w:rPr>
          <w:rFonts w:ascii="Times New Roman" w:hAnsi="Times New Roman" w:cs="Times New Roman"/>
          <w:sz w:val="22"/>
        </w:rPr>
        <w:t xml:space="preserve">% miejsc siedzących przeznaczonych do przewozu osób z ograniczoną możliwością poruszania się, w szczególności osób z niepełnosprawnościami, kobiet w ciąży i osób z małymi dziećmi. </w:t>
      </w:r>
    </w:p>
    <w:p w14:paraId="6192108B" w14:textId="77777777" w:rsidR="00DC02E6" w:rsidRPr="00C4017D" w:rsidRDefault="00146DC0" w:rsidP="00EE0C8D">
      <w:pPr>
        <w:numPr>
          <w:ilvl w:val="0"/>
          <w:numId w:val="1"/>
        </w:numPr>
        <w:spacing w:line="240" w:lineRule="auto"/>
        <w:ind w:right="35" w:hanging="360"/>
        <w:rPr>
          <w:rFonts w:ascii="Times New Roman" w:hAnsi="Times New Roman" w:cs="Times New Roman"/>
          <w:sz w:val="22"/>
        </w:rPr>
      </w:pPr>
      <w:r w:rsidRPr="00C4017D">
        <w:rPr>
          <w:rFonts w:ascii="Times New Roman" w:hAnsi="Times New Roman" w:cs="Times New Roman"/>
          <w:sz w:val="22"/>
        </w:rPr>
        <w:t xml:space="preserve">W przypadku braku możliwości uruchomienia pociągu w zestawieniu wynikającym z Umowy, zapewnienie pasażerom w pierwszej kolejności transportu innym pojazdem kolejowym (skład zastępczy). </w:t>
      </w:r>
    </w:p>
    <w:p w14:paraId="3B9186E1" w14:textId="77777777" w:rsidR="00DC02E6" w:rsidRPr="00C4017D" w:rsidRDefault="00146DC0" w:rsidP="00EE0C8D">
      <w:pPr>
        <w:numPr>
          <w:ilvl w:val="0"/>
          <w:numId w:val="1"/>
        </w:numPr>
        <w:spacing w:line="240" w:lineRule="auto"/>
        <w:ind w:right="35" w:hanging="360"/>
        <w:rPr>
          <w:rFonts w:ascii="Times New Roman" w:hAnsi="Times New Roman" w:cs="Times New Roman"/>
          <w:sz w:val="22"/>
        </w:rPr>
      </w:pPr>
      <w:r w:rsidRPr="00C4017D">
        <w:rPr>
          <w:rFonts w:ascii="Times New Roman" w:hAnsi="Times New Roman" w:cs="Times New Roman"/>
          <w:sz w:val="22"/>
        </w:rPr>
        <w:t>Zapewnieni</w:t>
      </w:r>
      <w:r w:rsidR="00D56246" w:rsidRPr="00C4017D">
        <w:rPr>
          <w:rFonts w:ascii="Times New Roman" w:hAnsi="Times New Roman" w:cs="Times New Roman"/>
          <w:sz w:val="22"/>
        </w:rPr>
        <w:t>a</w:t>
      </w:r>
      <w:r w:rsidRPr="00C4017D">
        <w:rPr>
          <w:rFonts w:ascii="Times New Roman" w:hAnsi="Times New Roman" w:cs="Times New Roman"/>
          <w:sz w:val="22"/>
        </w:rPr>
        <w:t xml:space="preserve"> pasażerom Przewozów zastępczych w przypadku odwołania pociągu. </w:t>
      </w:r>
    </w:p>
    <w:p w14:paraId="58F02C2B" w14:textId="77777777" w:rsidR="00DC02E6" w:rsidRPr="00C4017D" w:rsidRDefault="00146DC0" w:rsidP="00EE0C8D">
      <w:pPr>
        <w:numPr>
          <w:ilvl w:val="0"/>
          <w:numId w:val="1"/>
        </w:numPr>
        <w:spacing w:line="240" w:lineRule="auto"/>
        <w:ind w:right="35" w:hanging="360"/>
        <w:rPr>
          <w:rFonts w:ascii="Times New Roman" w:hAnsi="Times New Roman" w:cs="Times New Roman"/>
          <w:sz w:val="22"/>
        </w:rPr>
      </w:pPr>
      <w:r w:rsidRPr="00C4017D">
        <w:rPr>
          <w:rFonts w:ascii="Times New Roman" w:hAnsi="Times New Roman" w:cs="Times New Roman"/>
          <w:sz w:val="22"/>
        </w:rPr>
        <w:t xml:space="preserve">Terminowego przekazywania dokumentów związanych z realizacją Umowy. </w:t>
      </w:r>
    </w:p>
    <w:p w14:paraId="10DB63F0" w14:textId="56FD2AC3" w:rsidR="00CF07B8" w:rsidRPr="00B46E6C" w:rsidRDefault="00CF07B8" w:rsidP="00EE0C8D">
      <w:pPr>
        <w:numPr>
          <w:ilvl w:val="0"/>
          <w:numId w:val="1"/>
        </w:numPr>
        <w:shd w:val="clear" w:color="auto" w:fill="FFFFFF" w:themeFill="background1"/>
        <w:spacing w:line="240" w:lineRule="auto"/>
        <w:ind w:right="35" w:hanging="360"/>
        <w:rPr>
          <w:rFonts w:ascii="Times New Roman" w:hAnsi="Times New Roman" w:cs="Times New Roman"/>
          <w:sz w:val="22"/>
        </w:rPr>
      </w:pPr>
      <w:r w:rsidRPr="00C4017D">
        <w:rPr>
          <w:rFonts w:ascii="Times New Roman" w:hAnsi="Times New Roman" w:cs="Times New Roman"/>
          <w:sz w:val="22"/>
        </w:rPr>
        <w:t>Organizator zapewni</w:t>
      </w:r>
      <w:r w:rsidR="00B46E6C">
        <w:rPr>
          <w:rFonts w:ascii="Times New Roman" w:hAnsi="Times New Roman" w:cs="Times New Roman"/>
          <w:sz w:val="22"/>
        </w:rPr>
        <w:t>a</w:t>
      </w:r>
      <w:r w:rsidRPr="00C4017D">
        <w:rPr>
          <w:rFonts w:ascii="Times New Roman" w:hAnsi="Times New Roman" w:cs="Times New Roman"/>
          <w:sz w:val="22"/>
        </w:rPr>
        <w:t xml:space="preserve"> do realizacji przewozów tabor kolejowy w ilości 1</w:t>
      </w:r>
      <w:r w:rsidR="00B46E6C">
        <w:rPr>
          <w:rFonts w:ascii="Times New Roman" w:hAnsi="Times New Roman" w:cs="Times New Roman"/>
          <w:sz w:val="22"/>
        </w:rPr>
        <w:t xml:space="preserve">7 pojazdów szynowych </w:t>
      </w:r>
      <w:r w:rsidRPr="00C4017D">
        <w:rPr>
          <w:rFonts w:ascii="Times New Roman" w:hAnsi="Times New Roman" w:cs="Times New Roman"/>
          <w:sz w:val="22"/>
        </w:rPr>
        <w:t xml:space="preserve"> który zostanie wydzierżawiony Operatorowi na zasadach określonych w umowie dzierżawy, stanowiącej załącznik nr 14 do umowy. Udostępnienie taboru Operatorowi zostanie odpowiednio uwzględnione przy wyliczaniu Rekompensat. </w:t>
      </w:r>
      <w:r w:rsidR="00B46E6C">
        <w:rPr>
          <w:rFonts w:ascii="Times New Roman" w:hAnsi="Times New Roman" w:cs="Times New Roman"/>
          <w:sz w:val="22"/>
        </w:rPr>
        <w:t>D</w:t>
      </w:r>
      <w:r w:rsidRPr="00C4017D">
        <w:rPr>
          <w:rFonts w:ascii="Times New Roman" w:hAnsi="Times New Roman" w:cs="Times New Roman"/>
          <w:sz w:val="22"/>
        </w:rPr>
        <w:t>ane dotyczące taboru</w:t>
      </w:r>
      <w:r w:rsidR="00B46E6C">
        <w:rPr>
          <w:rFonts w:ascii="Times New Roman" w:hAnsi="Times New Roman" w:cs="Times New Roman"/>
          <w:sz w:val="22"/>
        </w:rPr>
        <w:t xml:space="preserve"> </w:t>
      </w:r>
      <w:r w:rsidRPr="00B46E6C">
        <w:rPr>
          <w:rFonts w:ascii="Times New Roman" w:hAnsi="Times New Roman" w:cs="Times New Roman"/>
          <w:sz w:val="22"/>
        </w:rPr>
        <w:t xml:space="preserve">zawiera załącznik nr 10 do </w:t>
      </w:r>
      <w:r w:rsidR="000B00AD">
        <w:rPr>
          <w:rFonts w:ascii="Times New Roman" w:hAnsi="Times New Roman" w:cs="Times New Roman"/>
          <w:sz w:val="22"/>
        </w:rPr>
        <w:t>Umowy</w:t>
      </w:r>
      <w:r w:rsidRPr="00B46E6C">
        <w:rPr>
          <w:rFonts w:ascii="Times New Roman" w:hAnsi="Times New Roman" w:cs="Times New Roman"/>
          <w:sz w:val="22"/>
        </w:rPr>
        <w:t>.</w:t>
      </w:r>
    </w:p>
    <w:p w14:paraId="08F45667" w14:textId="5C513BFB" w:rsidR="00C923BB" w:rsidRPr="00C923BB" w:rsidRDefault="00CF07B8" w:rsidP="00C923BB">
      <w:pPr>
        <w:numPr>
          <w:ilvl w:val="0"/>
          <w:numId w:val="1"/>
        </w:numPr>
        <w:spacing w:line="240" w:lineRule="auto"/>
        <w:ind w:right="35"/>
        <w:rPr>
          <w:rFonts w:ascii="Times New Roman" w:hAnsi="Times New Roman" w:cs="Times New Roman"/>
          <w:sz w:val="22"/>
        </w:rPr>
      </w:pPr>
      <w:r w:rsidRPr="00C923BB">
        <w:rPr>
          <w:rFonts w:ascii="Times New Roman" w:hAnsi="Times New Roman" w:cs="Times New Roman"/>
          <w:sz w:val="22"/>
        </w:rPr>
        <w:t xml:space="preserve">Organizator dopuszcza </w:t>
      </w:r>
      <w:r w:rsidR="00D56246" w:rsidRPr="00C923BB">
        <w:rPr>
          <w:rFonts w:ascii="Times New Roman" w:hAnsi="Times New Roman" w:cs="Times New Roman"/>
          <w:sz w:val="22"/>
        </w:rPr>
        <w:t xml:space="preserve">takie </w:t>
      </w:r>
      <w:r w:rsidRPr="00C923BB">
        <w:rPr>
          <w:rFonts w:ascii="Times New Roman" w:hAnsi="Times New Roman" w:cs="Times New Roman"/>
          <w:sz w:val="22"/>
        </w:rPr>
        <w:t>rozwiązanie, że Operator w celu sprawnej realizacji rozkładu jazdy będzie wykorzystywał również swój tabor. W</w:t>
      </w:r>
      <w:r w:rsidR="009B3269" w:rsidRPr="00C923BB">
        <w:rPr>
          <w:rFonts w:ascii="Times New Roman" w:hAnsi="Times New Roman" w:cs="Times New Roman"/>
          <w:sz w:val="22"/>
        </w:rPr>
        <w:t xml:space="preserve"> takiej sytuacji Operator uzupełni załącznik nr </w:t>
      </w:r>
      <w:r w:rsidR="00EE0C8D" w:rsidRPr="00C923BB">
        <w:rPr>
          <w:rFonts w:ascii="Times New Roman" w:hAnsi="Times New Roman" w:cs="Times New Roman"/>
          <w:sz w:val="22"/>
        </w:rPr>
        <w:t>8</w:t>
      </w:r>
      <w:r w:rsidR="009B3269" w:rsidRPr="00C923BB">
        <w:rPr>
          <w:rFonts w:ascii="Times New Roman" w:hAnsi="Times New Roman" w:cs="Times New Roman"/>
          <w:sz w:val="22"/>
        </w:rPr>
        <w:t xml:space="preserve"> do Umowy o dodatkowy tabor, który będzie wykorzystywany przez niego do realizacji przewozów w ramach Umowy.</w:t>
      </w:r>
      <w:r w:rsidR="00C923BB" w:rsidRPr="00C923BB">
        <w:rPr>
          <w:rFonts w:ascii="Times New Roman" w:hAnsi="Times New Roman" w:cs="Times New Roman"/>
          <w:sz w:val="22"/>
        </w:rPr>
        <w:t xml:space="preserve"> Wiek każdego pojazdu Operatora, którym wykonywane będą objęte niniejszą Umową przewozy, liczony od daty produkcji lub wykonania ostatniego najwyższego przeglądu poziomu utrzymania przewidzianego</w:t>
      </w:r>
      <w:r w:rsidR="00C923BB">
        <w:rPr>
          <w:rFonts w:ascii="Times New Roman" w:hAnsi="Times New Roman" w:cs="Times New Roman"/>
          <w:sz w:val="22"/>
        </w:rPr>
        <w:t xml:space="preserve"> </w:t>
      </w:r>
      <w:r w:rsidR="00C923BB" w:rsidRPr="00C923BB">
        <w:rPr>
          <w:rFonts w:ascii="Times New Roman" w:hAnsi="Times New Roman" w:cs="Times New Roman"/>
          <w:sz w:val="22"/>
        </w:rPr>
        <w:t>Dokumentacją Systemu Utrzymania, nie może przekraczać 20 lat w całym okresie obowiązywania Umowy.</w:t>
      </w:r>
    </w:p>
    <w:p w14:paraId="4550F4F9" w14:textId="77777777" w:rsidR="00D56246" w:rsidRPr="00C4017D" w:rsidRDefault="009B3269" w:rsidP="00EE0C8D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2"/>
        </w:rPr>
      </w:pPr>
      <w:r w:rsidRPr="00C4017D">
        <w:rPr>
          <w:rFonts w:ascii="Times New Roman" w:hAnsi="Times New Roman" w:cs="Times New Roman"/>
          <w:sz w:val="22"/>
        </w:rPr>
        <w:t>Pojazdy wykorzystywane do realizacji usługi muszą posiadać zezwolenie/świadectwo lub inny ważny dokument dopuszczający do eksploatacji typu pojazdu kolejowego, o którym mowa w ustawie z dnia 28 marca 2003 r. o transporcie kolejowym</w:t>
      </w:r>
      <w:r w:rsidR="00D56246" w:rsidRPr="00C4017D">
        <w:rPr>
          <w:rFonts w:ascii="Times New Roman" w:hAnsi="Times New Roman" w:cs="Times New Roman"/>
          <w:sz w:val="22"/>
        </w:rPr>
        <w:t>.</w:t>
      </w:r>
    </w:p>
    <w:p w14:paraId="4DD2DDF5" w14:textId="77777777" w:rsidR="00D56246" w:rsidRPr="00C4017D" w:rsidRDefault="00D56246" w:rsidP="00EE0C8D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2"/>
        </w:rPr>
      </w:pPr>
      <w:r w:rsidRPr="00C4017D">
        <w:rPr>
          <w:rFonts w:ascii="Times New Roman" w:hAnsi="Times New Roman" w:cs="Times New Roman"/>
          <w:sz w:val="22"/>
        </w:rPr>
        <w:t>Tabor musi być oznakowany zgodnie z Rozporządzeniem Ministra Transportu, Budownictwa i Gospodarki Morskiej z dnia 3 stycznia 2013 r. w sprawie sposobu prowadzenia rejestru oraz sposobu oznakowania pojazdów kolejowych.</w:t>
      </w:r>
    </w:p>
    <w:p w14:paraId="2D99D041" w14:textId="36740C2F" w:rsidR="00D56246" w:rsidRDefault="00D56246" w:rsidP="00EE0C8D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2"/>
        </w:rPr>
      </w:pPr>
      <w:r w:rsidRPr="00C4017D">
        <w:rPr>
          <w:rFonts w:ascii="Times New Roman" w:hAnsi="Times New Roman" w:cs="Times New Roman"/>
          <w:sz w:val="22"/>
        </w:rPr>
        <w:t>Zestawienia składów pociągów (pojazdy pojedyncze/podwójne) powinno być dostosowane do potoków pasażerskich.</w:t>
      </w:r>
    </w:p>
    <w:p w14:paraId="1D0430CE" w14:textId="77777777" w:rsidR="0000373A" w:rsidRPr="00C4017D" w:rsidRDefault="0000373A" w:rsidP="00EE0C8D">
      <w:pPr>
        <w:pStyle w:val="Akapitzlist"/>
        <w:spacing w:line="240" w:lineRule="auto"/>
        <w:ind w:left="566" w:firstLine="0"/>
        <w:rPr>
          <w:rFonts w:ascii="Times New Roman" w:hAnsi="Times New Roman" w:cs="Times New Roman"/>
          <w:sz w:val="22"/>
        </w:rPr>
      </w:pPr>
    </w:p>
    <w:p w14:paraId="00D715B3" w14:textId="77777777" w:rsidR="00D56246" w:rsidRPr="00C4017D" w:rsidRDefault="00D56246" w:rsidP="00EE0C8D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2"/>
        </w:rPr>
      </w:pPr>
      <w:r w:rsidRPr="00C4017D">
        <w:rPr>
          <w:rFonts w:ascii="Times New Roman" w:hAnsi="Times New Roman" w:cs="Times New Roman"/>
          <w:sz w:val="22"/>
        </w:rPr>
        <w:t xml:space="preserve">Część składu pociągu udostępniana podróżnym powinna być wyposażona min. w: </w:t>
      </w:r>
    </w:p>
    <w:p w14:paraId="56681D76" w14:textId="7A58D123" w:rsidR="00D56246" w:rsidRPr="00AF2BB9" w:rsidRDefault="00D56246" w:rsidP="00EE0C8D">
      <w:pPr>
        <w:pStyle w:val="Akapitzlist"/>
        <w:numPr>
          <w:ilvl w:val="0"/>
          <w:numId w:val="4"/>
        </w:numPr>
        <w:shd w:val="clear" w:color="auto" w:fill="FFFFFF" w:themeFill="background1"/>
        <w:spacing w:line="240" w:lineRule="auto"/>
        <w:ind w:left="851" w:hanging="284"/>
        <w:rPr>
          <w:rFonts w:ascii="Times New Roman" w:hAnsi="Times New Roman" w:cs="Times New Roman"/>
          <w:sz w:val="22"/>
        </w:rPr>
      </w:pPr>
      <w:r w:rsidRPr="00AF2BB9">
        <w:rPr>
          <w:rFonts w:ascii="Times New Roman" w:hAnsi="Times New Roman" w:cs="Times New Roman"/>
          <w:sz w:val="22"/>
        </w:rPr>
        <w:t>wentylację, klimatyzację oraz ogrzewanie zapewniających komfort termiczny wewnątrz składu,</w:t>
      </w:r>
    </w:p>
    <w:p w14:paraId="733F22DD" w14:textId="053F5CEE" w:rsidR="00D56246" w:rsidRPr="00AF2BB9" w:rsidRDefault="00D56246" w:rsidP="00EE0C8D">
      <w:pPr>
        <w:pStyle w:val="Akapitzlist"/>
        <w:numPr>
          <w:ilvl w:val="0"/>
          <w:numId w:val="4"/>
        </w:numPr>
        <w:shd w:val="clear" w:color="auto" w:fill="FFFFFF" w:themeFill="background1"/>
        <w:spacing w:line="240" w:lineRule="auto"/>
        <w:ind w:left="851" w:hanging="284"/>
        <w:rPr>
          <w:rFonts w:ascii="Times New Roman" w:hAnsi="Times New Roman" w:cs="Times New Roman"/>
          <w:sz w:val="22"/>
        </w:rPr>
      </w:pPr>
      <w:r w:rsidRPr="00AF2BB9">
        <w:rPr>
          <w:rFonts w:ascii="Times New Roman" w:hAnsi="Times New Roman" w:cs="Times New Roman"/>
          <w:sz w:val="22"/>
        </w:rPr>
        <w:t xml:space="preserve"> toaletę w układzie zamkniętym dostosowaną do potrzeb osób z ograniczoną mobilnością,</w:t>
      </w:r>
    </w:p>
    <w:p w14:paraId="58296C46" w14:textId="43617991" w:rsidR="00D56246" w:rsidRPr="00AF2BB9" w:rsidRDefault="00D56246" w:rsidP="00EE0C8D">
      <w:pPr>
        <w:pStyle w:val="Akapitzlist"/>
        <w:numPr>
          <w:ilvl w:val="0"/>
          <w:numId w:val="4"/>
        </w:numPr>
        <w:shd w:val="clear" w:color="auto" w:fill="FFFFFF" w:themeFill="background1"/>
        <w:spacing w:line="240" w:lineRule="auto"/>
        <w:ind w:left="851" w:hanging="284"/>
        <w:rPr>
          <w:rFonts w:ascii="Times New Roman" w:hAnsi="Times New Roman" w:cs="Times New Roman"/>
          <w:sz w:val="22"/>
        </w:rPr>
      </w:pPr>
      <w:r w:rsidRPr="00AF2BB9">
        <w:rPr>
          <w:rFonts w:ascii="Times New Roman" w:hAnsi="Times New Roman" w:cs="Times New Roman"/>
          <w:sz w:val="22"/>
        </w:rPr>
        <w:lastRenderedPageBreak/>
        <w:t>udogodnienia dla osób o ograniczonej możliwości poruszania w zakresie wsiadania/wysiadania z pojazdu,</w:t>
      </w:r>
    </w:p>
    <w:p w14:paraId="4BC603D7" w14:textId="3E3D5659" w:rsidR="00D56246" w:rsidRPr="00AF2BB9" w:rsidRDefault="00D56246" w:rsidP="00EE0C8D">
      <w:pPr>
        <w:pStyle w:val="Akapitzlist"/>
        <w:numPr>
          <w:ilvl w:val="0"/>
          <w:numId w:val="4"/>
        </w:numPr>
        <w:shd w:val="clear" w:color="auto" w:fill="FFFFFF" w:themeFill="background1"/>
        <w:spacing w:line="240" w:lineRule="auto"/>
        <w:ind w:left="851" w:hanging="284"/>
        <w:rPr>
          <w:rFonts w:ascii="Times New Roman" w:hAnsi="Times New Roman" w:cs="Times New Roman"/>
          <w:sz w:val="22"/>
        </w:rPr>
      </w:pPr>
      <w:r w:rsidRPr="00AF2BB9">
        <w:rPr>
          <w:rFonts w:ascii="Times New Roman" w:hAnsi="Times New Roman" w:cs="Times New Roman"/>
          <w:sz w:val="22"/>
        </w:rPr>
        <w:t xml:space="preserve">minimum </w:t>
      </w:r>
      <w:r w:rsidR="00B46E6C" w:rsidRPr="00AF2BB9">
        <w:rPr>
          <w:rFonts w:ascii="Times New Roman" w:hAnsi="Times New Roman" w:cs="Times New Roman"/>
          <w:sz w:val="22"/>
        </w:rPr>
        <w:t>4</w:t>
      </w:r>
      <w:r w:rsidRPr="00AF2BB9">
        <w:rPr>
          <w:rFonts w:ascii="Times New Roman" w:hAnsi="Times New Roman" w:cs="Times New Roman"/>
          <w:sz w:val="22"/>
        </w:rPr>
        <w:t xml:space="preserve"> miejsc na przewóz rowerów,</w:t>
      </w:r>
    </w:p>
    <w:p w14:paraId="068E2CFF" w14:textId="77777777" w:rsidR="00D56246" w:rsidRPr="00AF2BB9" w:rsidRDefault="00D56246" w:rsidP="00EE0C8D">
      <w:pPr>
        <w:pStyle w:val="Akapitzlist"/>
        <w:numPr>
          <w:ilvl w:val="0"/>
          <w:numId w:val="4"/>
        </w:numPr>
        <w:shd w:val="clear" w:color="auto" w:fill="FFFFFF" w:themeFill="background1"/>
        <w:spacing w:line="240" w:lineRule="auto"/>
        <w:ind w:left="851" w:hanging="284"/>
        <w:rPr>
          <w:rFonts w:ascii="Times New Roman" w:hAnsi="Times New Roman" w:cs="Times New Roman"/>
          <w:sz w:val="22"/>
        </w:rPr>
      </w:pPr>
      <w:r w:rsidRPr="00AF2BB9">
        <w:rPr>
          <w:rFonts w:ascii="Times New Roman" w:hAnsi="Times New Roman" w:cs="Times New Roman"/>
          <w:sz w:val="22"/>
        </w:rPr>
        <w:t>system zliczania pasażerów ze zdalnym dostępem do danych dla Organizatora,</w:t>
      </w:r>
    </w:p>
    <w:p w14:paraId="1760D69B" w14:textId="77777777" w:rsidR="00D56246" w:rsidRPr="00AF2BB9" w:rsidRDefault="00D56246" w:rsidP="00EE0C8D">
      <w:pPr>
        <w:pStyle w:val="Akapitzlist"/>
        <w:numPr>
          <w:ilvl w:val="0"/>
          <w:numId w:val="4"/>
        </w:numPr>
        <w:shd w:val="clear" w:color="auto" w:fill="FFFFFF" w:themeFill="background1"/>
        <w:spacing w:line="240" w:lineRule="auto"/>
        <w:ind w:left="851" w:hanging="284"/>
        <w:rPr>
          <w:rFonts w:ascii="Times New Roman" w:hAnsi="Times New Roman" w:cs="Times New Roman"/>
          <w:sz w:val="22"/>
        </w:rPr>
      </w:pPr>
      <w:r w:rsidRPr="00AF2BB9">
        <w:rPr>
          <w:rFonts w:ascii="Times New Roman" w:hAnsi="Times New Roman" w:cs="Times New Roman"/>
          <w:sz w:val="22"/>
        </w:rPr>
        <w:t>pokładowe wifi,</w:t>
      </w:r>
    </w:p>
    <w:p w14:paraId="50800347" w14:textId="6BF92B6C" w:rsidR="009B3269" w:rsidRPr="00C4017D" w:rsidRDefault="00D56246" w:rsidP="00EE0C8D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2"/>
        </w:rPr>
      </w:pPr>
      <w:r w:rsidRPr="00C4017D">
        <w:rPr>
          <w:rFonts w:ascii="Times New Roman" w:hAnsi="Times New Roman" w:cs="Times New Roman"/>
          <w:sz w:val="22"/>
        </w:rPr>
        <w:t xml:space="preserve">Operator zobowiązany jest do zapewnienia dostępu do zaplecza technicznego, w którym będą realizowane </w:t>
      </w:r>
      <w:r w:rsidR="00AF2BB9">
        <w:rPr>
          <w:rFonts w:ascii="Times New Roman" w:hAnsi="Times New Roman" w:cs="Times New Roman"/>
          <w:sz w:val="22"/>
        </w:rPr>
        <w:t xml:space="preserve">naprawy, </w:t>
      </w:r>
      <w:r w:rsidRPr="00C4017D">
        <w:rPr>
          <w:rFonts w:ascii="Times New Roman" w:hAnsi="Times New Roman" w:cs="Times New Roman"/>
          <w:sz w:val="22"/>
        </w:rPr>
        <w:t>przeglądy techniczne pojazdów kolejowych wykorzystywanych do realizacji usługi.</w:t>
      </w:r>
    </w:p>
    <w:p w14:paraId="5A0A8858" w14:textId="77777777" w:rsidR="00D56246" w:rsidRPr="00C4017D" w:rsidRDefault="00D56246" w:rsidP="00EE0C8D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2"/>
        </w:rPr>
      </w:pPr>
      <w:r w:rsidRPr="00C4017D">
        <w:rPr>
          <w:rFonts w:ascii="Times New Roman" w:hAnsi="Times New Roman" w:cs="Times New Roman"/>
          <w:sz w:val="22"/>
        </w:rPr>
        <w:t>Operator zobowiązany jest do utrzymania odpowiedniej rezerwy taborowej umożliwiającej realizację zleconych przewozów w sposób nieprzerwany podczas koniecznych do przeprowadzenia przeglądów i napraw wykorzystywanych pojazdów kolejowych,</w:t>
      </w:r>
    </w:p>
    <w:p w14:paraId="611D71BB" w14:textId="78169366" w:rsidR="00D56246" w:rsidRDefault="00D56246" w:rsidP="00EE0C8D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2"/>
        </w:rPr>
      </w:pPr>
      <w:r w:rsidRPr="00C4017D">
        <w:rPr>
          <w:rFonts w:ascii="Times New Roman" w:hAnsi="Times New Roman" w:cs="Times New Roman"/>
          <w:sz w:val="22"/>
        </w:rPr>
        <w:t>Organizator dopuszcza wykonywanie przewozów taborem innym niż wskazany w Załączniku nr 1</w:t>
      </w:r>
      <w:r w:rsidR="00855A43" w:rsidRPr="00C4017D">
        <w:rPr>
          <w:rFonts w:ascii="Times New Roman" w:hAnsi="Times New Roman" w:cs="Times New Roman"/>
          <w:sz w:val="22"/>
        </w:rPr>
        <w:t>0</w:t>
      </w:r>
      <w:r w:rsidRPr="00C4017D">
        <w:rPr>
          <w:rFonts w:ascii="Times New Roman" w:hAnsi="Times New Roman" w:cs="Times New Roman"/>
          <w:sz w:val="22"/>
        </w:rPr>
        <w:t xml:space="preserve"> do umowy, po każdorazowym pisemnym uzgodnieniu z Organizatorem.</w:t>
      </w:r>
    </w:p>
    <w:p w14:paraId="0B0A9BC1" w14:textId="77777777" w:rsidR="0000373A" w:rsidRPr="0000373A" w:rsidRDefault="0000373A" w:rsidP="00EE0C8D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2"/>
        </w:rPr>
      </w:pPr>
      <w:r w:rsidRPr="0000373A">
        <w:rPr>
          <w:rFonts w:ascii="Times New Roman" w:hAnsi="Times New Roman" w:cs="Times New Roman"/>
          <w:sz w:val="22"/>
        </w:rPr>
        <w:t xml:space="preserve">Zapewnienia wyznaczonych parametrów jakościowych dla taboru. </w:t>
      </w:r>
    </w:p>
    <w:p w14:paraId="1521B4C1" w14:textId="77777777" w:rsidR="0000373A" w:rsidRPr="00C4017D" w:rsidRDefault="0000373A" w:rsidP="00687A96">
      <w:pPr>
        <w:pStyle w:val="Akapitzlist"/>
        <w:spacing w:line="240" w:lineRule="auto"/>
        <w:ind w:left="566" w:firstLine="0"/>
        <w:rPr>
          <w:rFonts w:ascii="Times New Roman" w:hAnsi="Times New Roman" w:cs="Times New Roman"/>
          <w:sz w:val="22"/>
        </w:rPr>
      </w:pPr>
    </w:p>
    <w:p w14:paraId="44E7AA53" w14:textId="5103AFCA" w:rsidR="00DC02E6" w:rsidRPr="00C4017D" w:rsidRDefault="00DC02E6" w:rsidP="00EE0C8D">
      <w:pPr>
        <w:spacing w:after="0" w:line="240" w:lineRule="auto"/>
        <w:ind w:left="0" w:right="0" w:firstLine="0"/>
        <w:jc w:val="left"/>
        <w:rPr>
          <w:rFonts w:ascii="Times New Roman" w:hAnsi="Times New Roman" w:cs="Times New Roman"/>
          <w:sz w:val="22"/>
        </w:rPr>
      </w:pPr>
    </w:p>
    <w:sectPr w:rsidR="00DC02E6" w:rsidRPr="00C4017D">
      <w:footerReference w:type="default" r:id="rId9"/>
      <w:pgSz w:w="11906" w:h="16838"/>
      <w:pgMar w:top="711" w:right="1376" w:bottom="830" w:left="141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2C0DA" w14:textId="77777777" w:rsidR="001E77FA" w:rsidRDefault="001E77FA" w:rsidP="001E77FA">
      <w:pPr>
        <w:spacing w:after="0" w:line="240" w:lineRule="auto"/>
      </w:pPr>
      <w:r>
        <w:separator/>
      </w:r>
    </w:p>
  </w:endnote>
  <w:endnote w:type="continuationSeparator" w:id="0">
    <w:p w14:paraId="230D9F1E" w14:textId="77777777" w:rsidR="001E77FA" w:rsidRDefault="001E77FA" w:rsidP="001E7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18"/>
        <w:szCs w:val="18"/>
      </w:rPr>
      <w:id w:val="144790529"/>
      <w:docPartObj>
        <w:docPartGallery w:val="Page Numbers (Bottom of Page)"/>
        <w:docPartUnique/>
      </w:docPartObj>
    </w:sdtPr>
    <w:sdtEndPr/>
    <w:sdtContent>
      <w:p w14:paraId="50B3EE0D" w14:textId="0E7D9F31" w:rsidR="001E77FA" w:rsidRPr="001E77FA" w:rsidRDefault="001E77FA" w:rsidP="001E77FA">
        <w:pPr>
          <w:pStyle w:val="Stopka"/>
          <w:jc w:val="center"/>
          <w:rPr>
            <w:sz w:val="18"/>
            <w:szCs w:val="18"/>
          </w:rPr>
        </w:pPr>
        <w:r w:rsidRPr="001E77FA">
          <w:rPr>
            <w:rFonts w:asciiTheme="majorHAnsi" w:eastAsiaTheme="majorEastAsia" w:hAnsiTheme="majorHAnsi" w:cstheme="majorBidi"/>
            <w:sz w:val="18"/>
            <w:szCs w:val="18"/>
          </w:rPr>
          <w:t xml:space="preserve">str. </w:t>
        </w:r>
        <w:r w:rsidRPr="001E77FA">
          <w:rPr>
            <w:rFonts w:asciiTheme="minorHAnsi" w:eastAsiaTheme="minorEastAsia" w:hAnsiTheme="minorHAnsi" w:cs="Times New Roman"/>
            <w:sz w:val="18"/>
            <w:szCs w:val="18"/>
          </w:rPr>
          <w:fldChar w:fldCharType="begin"/>
        </w:r>
        <w:r w:rsidRPr="001E77FA">
          <w:rPr>
            <w:sz w:val="18"/>
            <w:szCs w:val="18"/>
          </w:rPr>
          <w:instrText>PAGE    \* MERGEFORMAT</w:instrText>
        </w:r>
        <w:r w:rsidRPr="001E77FA">
          <w:rPr>
            <w:rFonts w:asciiTheme="minorHAnsi" w:eastAsiaTheme="minorEastAsia" w:hAnsiTheme="minorHAnsi" w:cs="Times New Roman"/>
            <w:sz w:val="18"/>
            <w:szCs w:val="18"/>
          </w:rPr>
          <w:fldChar w:fldCharType="separate"/>
        </w:r>
        <w:r w:rsidRPr="001E77FA">
          <w:rPr>
            <w:rFonts w:asciiTheme="majorHAnsi" w:eastAsiaTheme="majorEastAsia" w:hAnsiTheme="majorHAnsi" w:cstheme="majorBidi"/>
            <w:sz w:val="18"/>
            <w:szCs w:val="18"/>
          </w:rPr>
          <w:t>2</w:t>
        </w:r>
        <w:r w:rsidRPr="001E77FA">
          <w:rPr>
            <w:rFonts w:asciiTheme="majorHAnsi" w:eastAsiaTheme="majorEastAsia" w:hAnsiTheme="majorHAnsi" w:cstheme="majorBidi"/>
            <w:sz w:val="18"/>
            <w:szCs w:val="18"/>
          </w:rPr>
          <w:fldChar w:fldCharType="end"/>
        </w:r>
      </w:p>
    </w:sdtContent>
  </w:sdt>
  <w:p w14:paraId="1B4CEF8F" w14:textId="77777777" w:rsidR="001E77FA" w:rsidRPr="001E77FA" w:rsidRDefault="001E77FA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82F3C" w14:textId="77777777" w:rsidR="001E77FA" w:rsidRDefault="001E77FA" w:rsidP="001E77FA">
      <w:pPr>
        <w:spacing w:after="0" w:line="240" w:lineRule="auto"/>
      </w:pPr>
      <w:r>
        <w:separator/>
      </w:r>
    </w:p>
  </w:footnote>
  <w:footnote w:type="continuationSeparator" w:id="0">
    <w:p w14:paraId="73B8F721" w14:textId="77777777" w:rsidR="001E77FA" w:rsidRDefault="001E77FA" w:rsidP="001E77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70D19"/>
    <w:multiLevelType w:val="hybridMultilevel"/>
    <w:tmpl w:val="6CDCCA0E"/>
    <w:lvl w:ilvl="0" w:tplc="06B21B5A">
      <w:start w:val="2"/>
      <w:numFmt w:val="upperRoman"/>
      <w:lvlText w:val="%1."/>
      <w:lvlJc w:val="left"/>
      <w:pPr>
        <w:ind w:left="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64AC0C">
      <w:start w:val="1"/>
      <w:numFmt w:val="decimal"/>
      <w:lvlText w:val="%2."/>
      <w:lvlJc w:val="left"/>
      <w:pPr>
        <w:ind w:left="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507D9C">
      <w:start w:val="1"/>
      <w:numFmt w:val="decimal"/>
      <w:lvlText w:val="%3)"/>
      <w:lvlJc w:val="left"/>
      <w:pPr>
        <w:ind w:left="1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0860BC">
      <w:start w:val="1"/>
      <w:numFmt w:val="decimal"/>
      <w:lvlText w:val="%4"/>
      <w:lvlJc w:val="left"/>
      <w:pPr>
        <w:ind w:left="1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ECA968">
      <w:start w:val="1"/>
      <w:numFmt w:val="lowerLetter"/>
      <w:lvlText w:val="%5"/>
      <w:lvlJc w:val="left"/>
      <w:pPr>
        <w:ind w:left="2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D095A0">
      <w:start w:val="1"/>
      <w:numFmt w:val="lowerRoman"/>
      <w:lvlText w:val="%6"/>
      <w:lvlJc w:val="left"/>
      <w:pPr>
        <w:ind w:left="3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F0E600">
      <w:start w:val="1"/>
      <w:numFmt w:val="decimal"/>
      <w:lvlText w:val="%7"/>
      <w:lvlJc w:val="left"/>
      <w:pPr>
        <w:ind w:left="39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52D566">
      <w:start w:val="1"/>
      <w:numFmt w:val="lowerLetter"/>
      <w:lvlText w:val="%8"/>
      <w:lvlJc w:val="left"/>
      <w:pPr>
        <w:ind w:left="46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3AEA2A">
      <w:start w:val="1"/>
      <w:numFmt w:val="lowerRoman"/>
      <w:lvlText w:val="%9"/>
      <w:lvlJc w:val="left"/>
      <w:pPr>
        <w:ind w:left="54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BD2CE0"/>
    <w:multiLevelType w:val="hybridMultilevel"/>
    <w:tmpl w:val="B040FE16"/>
    <w:lvl w:ilvl="0" w:tplc="29FAB774">
      <w:start w:val="1"/>
      <w:numFmt w:val="lowerLetter"/>
      <w:lvlText w:val="%1)"/>
      <w:lvlJc w:val="left"/>
      <w:pPr>
        <w:ind w:left="11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2" w15:restartNumberingAfterBreak="0">
    <w:nsid w:val="49191753"/>
    <w:multiLevelType w:val="hybridMultilevel"/>
    <w:tmpl w:val="3666741C"/>
    <w:lvl w:ilvl="0" w:tplc="A7CCDF74">
      <w:start w:val="1"/>
      <w:numFmt w:val="decimal"/>
      <w:lvlText w:val="%1."/>
      <w:lvlJc w:val="left"/>
      <w:pPr>
        <w:ind w:left="566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36AEFC">
      <w:start w:val="1"/>
      <w:numFmt w:val="lowerLetter"/>
      <w:lvlText w:val="%2)"/>
      <w:lvlJc w:val="left"/>
      <w:pPr>
        <w:ind w:left="111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 w:themeColor="text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3" w:tplc="83DE6172">
      <w:start w:val="1"/>
      <w:numFmt w:val="bullet"/>
      <w:lvlText w:val="•"/>
      <w:lvlJc w:val="left"/>
      <w:pPr>
        <w:ind w:left="2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6AAB92">
      <w:start w:val="1"/>
      <w:numFmt w:val="bullet"/>
      <w:lvlText w:val="o"/>
      <w:lvlJc w:val="left"/>
      <w:pPr>
        <w:ind w:left="30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64F2DC">
      <w:start w:val="1"/>
      <w:numFmt w:val="bullet"/>
      <w:lvlText w:val="▪"/>
      <w:lvlJc w:val="left"/>
      <w:pPr>
        <w:ind w:left="3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AE33FE">
      <w:start w:val="1"/>
      <w:numFmt w:val="bullet"/>
      <w:lvlText w:val="•"/>
      <w:lvlJc w:val="left"/>
      <w:pPr>
        <w:ind w:left="4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E61300">
      <w:start w:val="1"/>
      <w:numFmt w:val="bullet"/>
      <w:lvlText w:val="o"/>
      <w:lvlJc w:val="left"/>
      <w:pPr>
        <w:ind w:left="5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5CFB6C">
      <w:start w:val="1"/>
      <w:numFmt w:val="bullet"/>
      <w:lvlText w:val="▪"/>
      <w:lvlJc w:val="left"/>
      <w:pPr>
        <w:ind w:left="5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4E277F6"/>
    <w:multiLevelType w:val="hybridMultilevel"/>
    <w:tmpl w:val="C4C09E8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75E40DF"/>
    <w:multiLevelType w:val="hybridMultilevel"/>
    <w:tmpl w:val="FB72F474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 w16cid:durableId="80958201">
    <w:abstractNumId w:val="2"/>
  </w:num>
  <w:num w:numId="2" w16cid:durableId="163085968">
    <w:abstractNumId w:val="0"/>
  </w:num>
  <w:num w:numId="3" w16cid:durableId="384334982">
    <w:abstractNumId w:val="1"/>
  </w:num>
  <w:num w:numId="4" w16cid:durableId="2052027004">
    <w:abstractNumId w:val="3"/>
  </w:num>
  <w:num w:numId="5" w16cid:durableId="8672614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7B608CC1-DB3B-435B-B072-DE6C242EA5B1}"/>
  </w:docVars>
  <w:rsids>
    <w:rsidRoot w:val="00DC02E6"/>
    <w:rsid w:val="0000373A"/>
    <w:rsid w:val="000B00AD"/>
    <w:rsid w:val="00146DC0"/>
    <w:rsid w:val="0016550A"/>
    <w:rsid w:val="0019129D"/>
    <w:rsid w:val="001E77FA"/>
    <w:rsid w:val="00483775"/>
    <w:rsid w:val="00511EBD"/>
    <w:rsid w:val="005E16C5"/>
    <w:rsid w:val="00687A96"/>
    <w:rsid w:val="006D4443"/>
    <w:rsid w:val="00855A43"/>
    <w:rsid w:val="009634CA"/>
    <w:rsid w:val="009B3269"/>
    <w:rsid w:val="00A037F6"/>
    <w:rsid w:val="00A9585E"/>
    <w:rsid w:val="00AD6364"/>
    <w:rsid w:val="00AF2BB9"/>
    <w:rsid w:val="00B46E6C"/>
    <w:rsid w:val="00C12990"/>
    <w:rsid w:val="00C4017D"/>
    <w:rsid w:val="00C923BB"/>
    <w:rsid w:val="00CF07B8"/>
    <w:rsid w:val="00D56246"/>
    <w:rsid w:val="00D839D0"/>
    <w:rsid w:val="00DC02E6"/>
    <w:rsid w:val="00DE321B"/>
    <w:rsid w:val="00EE0C8D"/>
    <w:rsid w:val="00F008EB"/>
    <w:rsid w:val="00F83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DA1954F"/>
  <w15:docId w15:val="{07587C03-B139-4BD1-8C4C-02BE87844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2" w:line="269" w:lineRule="auto"/>
      <w:ind w:left="370" w:right="41" w:hanging="370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22"/>
      <w:ind w:right="43"/>
      <w:jc w:val="center"/>
      <w:outlineLvl w:val="0"/>
    </w:pPr>
    <w:rPr>
      <w:rFonts w:ascii="Calibri" w:eastAsia="Calibri" w:hAnsi="Calibri" w:cs="Calibri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0"/>
    </w:rPr>
  </w:style>
  <w:style w:type="paragraph" w:styleId="Akapitzlist">
    <w:name w:val="List Paragraph"/>
    <w:basedOn w:val="Normalny"/>
    <w:uiPriority w:val="34"/>
    <w:qFormat/>
    <w:rsid w:val="009B32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E7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77FA"/>
    <w:rPr>
      <w:rFonts w:ascii="Calibri" w:eastAsia="Calibri" w:hAnsi="Calibri" w:cs="Calibri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1E7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77FA"/>
    <w:rPr>
      <w:rFonts w:ascii="Calibri" w:eastAsia="Calibri" w:hAnsi="Calibri" w:cs="Calibri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3ADA0F0-1727-485C-B902-96F75F5B5A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608CC1-DB3B-435B-B072-DE6C242EA5B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1093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5 - Parametry jakościowe związane ze świadczeniem Przewozów</vt:lpstr>
    </vt:vector>
  </TitlesOfParts>
  <Company>umwp</Company>
  <LinksUpToDate>false</LinksUpToDate>
  <CharactersWithSpaces>7637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5 - Parametry jakościowe związane ze świadczeniem Przewozów</dc:title>
  <dc:subject/>
  <cp:keywords/>
  <cp:lastModifiedBy>Strzeszewska Marta</cp:lastModifiedBy>
  <cp:revision>19</cp:revision>
  <cp:lastPrinted>2024-01-15T07:03:00Z</cp:lastPrinted>
  <dcterms:created xsi:type="dcterms:W3CDTF">2023-01-16T11:55:00Z</dcterms:created>
  <dcterms:modified xsi:type="dcterms:W3CDTF">2024-01-15T07:43:00Z</dcterms:modified>
</cp:coreProperties>
</file>